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9 месяцев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2024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7"/>
        <w:gridCol w:w="7615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32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3 квартале 2024 года отраслевых исследований коррупционных факторов и реализуемых антикоррупционных мер среди целевых групп не проводились.</w:t>
            </w:r>
          </w:p>
          <w:p>
            <w:pPr>
              <w:pStyle w:val="ConsPlusNormal"/>
              <w:spacing w:lineRule="auto" w:line="232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 сайте района в разделе «Противодействие коррупции» размещен и находится в актуальном состоянии социологический опрос «Опрос о состоянии коррупции в районе». Результаты опроса рассматриваются на заседании комиссии по координации работы по противодействию коррупции. </w:t>
            </w:r>
          </w:p>
          <w:p>
            <w:pPr>
              <w:pStyle w:val="ConsPlusNormal"/>
              <w:spacing w:lineRule="auto" w:line="232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(Выполнение индикаторов - 100%).</w:t>
            </w:r>
          </w:p>
        </w:tc>
      </w:tr>
      <w:tr>
        <w:trPr>
          <w:trHeight w:val="470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0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2" w:tgtFrame="_blank"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официальном сайте района в разделе «Противодействие коррупции» в подразделе «Независимая антикоррупционная экспертиза» начальником юридического отдела размещаются проекты муниципальных НПА, разработанные в муниципальном районе.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 размещению подлежит 410 проектов НПА.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2 квартал 2024 года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9 месяцев 2024 года принят 11 нормативно правовой акт в сфере противодействия коррупции: 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Решение Совета Сабинского муниципального района от 26.02.2024 г. №253 «О внесении изменений в решение Совета Сабинского муниципального района Республики Татарстан от 12.12.2023 года №236 «О бюджете Сабинского муниципального района Республики Татарстан на 2024 год и на плановый период 2025-2026 годов»»;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Решение Совета Сабинского муниципального района от 27.06.2024 г. №271 «О внесении изменений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решением Совета Сабинского муниципального района от 05.04.2016 №47»;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Постановление Исполнительный комитет Сабинского муниципального района от 01.07.2024г. №539-п «О внесении изменений в постановление Исполнительного комитета Сабинского муниципального района Республики Татарстан от 09.11.2015 №1382-п «Об утверждении тарифных коэффициентов и тарифных ставок (окладов) Единой тарифной сетки по оплате труда работников бюджетной сферы Сабинского муниципального района Республики Татарстан»;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Постановление Исполнительный комитет Сабинского муниципального района от 01.07.2024г. №540-п «О внесении изменений в Положение об организации и условиях оплаты труда руководителей и специалистов (за исключением должностей, отнесенных к должностям муниципальных служащих) Централизованной бухгалтерии при Финансово-бюджетной палате Сабинского муниципального района, утвержденный постановлением Исполнительного комитета Сабинского муниципального района от 29.04.2019 №428-п;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Постановление Исполнительный комитет Сабинского муниципального района от 01.07.2024г. №550-п «О внесении изменений в постановление Исполнительного комитета Сабинского муниципального района от 23.03.2021 №301-п «Об условиях оплаты труда работников бюджетной сферы, на которые не распространяется Единая тарифная сетка по оплате труда работников бюджетной сферы»;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Постановление Исполнительный комитет Сабинского муниципального района от 01.07.2024г. №551-п «Об условиях оплаты труда работников муниципальных организаций молодежной политики Сабинского муниципального района Республики Татарстан»;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Постановление Исполнительный комитет Сабинского муниципального района от 01.07.2024г. №552-п «Об условиях оплаты труда работников муниципальных учреждений культуры Сабинского муниципального района Республики Татарстан»;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 Постановление Исполнительный комитет Сабинского муниципального района от 01.07.2024г. №553-п «Об условиях оплаты труда работников муниципальных образовательных организаций Сабинского муниципального района Республики Татарстан»;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 Постановление Исполнительный комитет Сабинского муниципального района от 01.07.2024г. №554-п «Об условиях оплаты труда работников муниципальных организаций физической культуры и спорта Сабинского муниципального Республики Татарстан»;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 Исполнительный комитет Сабинского муниципального района от 06.08.2024г. №647-п</w:t>
            </w:r>
            <w:r>
              <w:rPr/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 внесении изменений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Сабинского муниципального района Республики Татарстан, утвержденный постановлением Исполнительного комитета Сабинского муниципального района Республики Татарстан от 19.08.2016 №1051-п;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 Решение Совета Сабинского муниципального района от 25.09.2024 г. №286 О внесении изменений в решение Совета Сабинского муниципального района Республики Татарстан от 12.12.2023 года №236 «О бюджете Сабинского муниципального района Республики Татарстан на 2024 год и на плановый период 2025-2026 годов»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Значение индикатора - 100 %</w:t>
            </w:r>
          </w:p>
        </w:tc>
      </w:tr>
      <w:tr>
        <w:trPr>
          <w:trHeight w:val="277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"/document/196300/entry/0"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"/document/8166002/entry/0"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Распоряжением Руководителя Исполнительного комитета Сабинского муниципального района Республики Татарстан от 06.10.2017г. №175-р определено должностное лицо кадровой службы, ответственное за работу по профилактике коррупционных и иных правонарушений – Ярмиева Р.Н., воз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ожив на нее функции в соответствии с Указом Президента Российской Федерации от 21.09.2009г. № 1065 и Президента Республики Татарстан от 01.11.2010 № УП-711.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План работы ответственного лица по профилактике коррупционных и иных правонарушений Совета, и Исполнительного комитета Сабинского муниципального района Республики Татарстан на 2024 год, утвержденный заместителем главы Сабинского муниципального района- председателем комиссии по соблюдению требований к служебному (должностному) поведению и урегулированию конфликта интересов.     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 в муниципальном образовании Сабинский муниципальный района, замещение которых связано с коррупционными рисками утвержден постановлением Главы Сабинского муниципального района Республики Татарстан от 12.12.2013 № 134-п.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85 должностей муниципальной службы Сабинского муниципального района Республики Татарстан в перечень включено 85 должностей, что составляет 100%.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оценка коррупционных рисков, возникающих при реализации муниципальными служащими функций.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анализ и актуализация анкетных данных муниципальных служащих и лиц, замещающих муниципальные должности.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работа по подлинности дипломов, по проверке участия муниципальных служащих в предпринимательской деятельности и участия в деятельности органов управления коммерческими организациями. Проводится анализ анкетных данных на наличие близкого родства.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 доступ к программе для проверки сведений из ЕГРЮЛ и ЕГРИП, также установлена программа «Кадры 1С».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Проверена информация о выдаче дипломов о высшем и средне профессиональном образовании посредством сайта в отношении муниципальных служащих.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исполнение законодательства о муниципальной службе, о противодействии коррупции гражданами, претендующими на замещение должностей муниципальной службы, предоставлены справки об отсутствии судимости.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Проводятся проверки соблюдения муниципальными служащими требований к служебному поведению, предусмотренных законодательством о государственной и муниципальной службе.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целях усиления работы по профилактике коррупционных и иных правонарушений,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(Выполнение индикаторов -100%).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систематически, нарушений не выявлено.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(Выполнение индикаторов -100%).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"/document/12164203/entry/133"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статьи 13.3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 контроль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ОМС.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Ведется контроль соблюдения правил и норм Кодекса этики и служебного поведения муниципальных служащих Сабинского муниципального района, и исполнения обязанности по предотвращению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Внесены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(Выполнение индикаторов -100%).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_399023"/>
            <w:bookmarkEnd w:id="1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2" w:name="p_399024"/>
            <w:bookmarkEnd w:id="2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Комиссии по координации работы по противодействию коррупции в Сабинском муниципальном районе ведется согласно утвержденному годовому Плану. В случае необходимости возможно проведение внеочередных заседаний, в течение года в План работы могут быть внесены изменения и дополнения.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contextualSpacing/>
              <w:jc w:val="both"/>
              <w:outlineLvl w:val="0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Все решения заседаний комиссии доводятся до органов местного самоуправления.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contextualSpacing/>
              <w:jc w:val="both"/>
              <w:outlineLvl w:val="0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 выполнены)</w:t>
            </w:r>
          </w:p>
        </w:tc>
      </w:tr>
      <w:tr>
        <w:trPr>
          <w:trHeight w:val="787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>
        <w:trPr>
          <w:trHeight w:val="169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нормативных правовых актов, подвергнутых антикоррупционной экспертизе на стадии разработки их проектов – 410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  <w:tr>
        <w:trPr>
          <w:trHeight w:val="708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 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февраля 2024 года в актовом зале заседаний Исполнительного комитета Сабинского муниципального района прошел обучающий семинар для муниципальных служащих и руководителей муниципальных учреждений, депутатов сельских поселений на тему «Представление сведений о доходах, расходах, об имуществе и обязательствах имущественного характера и заполнение соответствующей формы справки».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2024 год в муниципальном районе при участии представителей общественных организаций проведено 4 заседаний комиссии по соблюдению требований к служебному (должностному) поведению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 проводимые в муниципальном районе мероприятия по противодействию коррупции направлены на активизацию работы по формированию у муниципальных служащих отрицательного отношения к коррупции и проводятся с привлечением представителей общественного Совета района и общественных организаций Сабинского муниципального района.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о реализации программы противодействия коррупции заслушаны в феврале 2024 года на итоговом заседании Совета Сабинского муниципального района с участием председателя и членов Общественного совета района. 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выполнены)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623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Вся информация размещена на сайте района, в т.ч. номера телефонов доверия, 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Проводится ежеквартальный анализ обращений граждан на предмет наличия информации о фактах коррупции со стороны муниципальных служащих, а также в СМИ. За отчетный период таких сообщений не поступило.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входе в здание сельских и городских поселений района установлены ящики «Ящики доверия» для сбора сообщений от граждан и организаций.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Ведется журнал регистрации обращений граждан и организации, поступивших по телефону доверия по вопросам противодействия коррупции.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сайте Сабинского муниципального района опубликованы следующие номера телефонов доверия для сообщений о проявлениях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Совета и Исполнительного комитета Сабинского муниципального района: 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Помощника Главы по антикоррупционной и антитеррористической работе, секретаря комиссии по координации работы по противодействию коррупции: 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Ответственного лица за профилактику коррупционных и иных правонарушений – заведующей сектором по кадровой работе Исполнительного комитета Сабинского муниципального района РТ.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Прокуратуры Сабинского района;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Отдела МВД России по Сабинскому району;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 Раиса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по вопросам антикоррупционной политики: 8(843)567-88-69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Совета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Раисе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Татарстан по противодействию коррупции: 8(843)567-89-12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 интернет – приемной Сабинского муниципального района.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9 месяцев 2024 года от граждан письменных и устных жалоб и об-ращений о признаках коррупционных правонарушений не поступало.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ежеквартальный анализ обращений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доведения до СМИ информации о мерах, принимаемых органами местного самоуправления района по противодействию коррупции, на страницах районной газеты «Саба таннары» и местном канале Сабинской телекомпании освещаются мероприятия, направленные на профилактику коррупционных и иных правонарушений. На все мероприятия по противодействию коррупции приглашаются представители СМИ.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3 квартала 2024 года информации о коррупционных проявлениях со стороны муниципальных служащих не имеется.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 антикоррупционной направленности имеются во всех муниципальных учреждениях и органах местного самоуправления, а также в фойе здании Совета и Исполнительного комитета Сабинского муниципального района установлен монитор, на котором ежеминутно транслируется антикоррупционные материалы.  Информация систематически обновляется.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601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5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принципа открытости и прозрачности информации о закупках обеспечивается путем размещения на портале www.zakupki.gov.ru план-графиков закупок всех муниципальных заказчиков района, а также размещения извещений о проведении конкурентных способов закупок как на общероссийском официальном сайте, так и на сайте Сабинского муниципального района http://saby.tatarstan.ru. Электронные торги проводятся на торговой площадке http://www.zakazrf.ru либо закупается через «Биржевую площадку АГЗ РТ».</w:t>
            </w:r>
          </w:p>
          <w:p>
            <w:pPr>
              <w:pStyle w:val="15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01.10.2024 г. заключены 407 муниципальных контрактов по итогам 207 проведённых электронных торгов на сумму 535,2 млн.руб., экономия – 9,5 млн.руб. или 1,8%.</w:t>
            </w:r>
          </w:p>
          <w:p>
            <w:pPr>
              <w:pStyle w:val="15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индикатора по мероприятию (доля органов государственной власти и ОМС, обеспечивших прозрачность деятельности по осуществлению закупок товаров, работ, услуг для обеспечения государственных (муниципальных) нужд, процентов) равна 100%.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76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обращений граждан о проявлениях коррупции в социально-экономических отраслях жизнедеятельности организован, обращений за 3 квартала 2024 года не выявлено.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выполнены).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Все факты несоблюдения запретов, ограничений и требований, установленных в целях противодействия коррупции, рассматриваются на комиссии по соблюдению требований к служебному поведению.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1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Осуществляется контроль за применением предусмотренных законодательством мер юридической ответственности за несоблюдение требований, установленных в целях противодействия коррупции.</w:t>
            </w:r>
            <w:r>
              <w:rPr>
                <w:rFonts w:ascii="Times New Roman" w:hAnsi="Times New Roman"/>
                <w:spacing w:val="-10"/>
                <w:sz w:val="24"/>
                <w:szCs w:val="24"/>
                <w:u w:val="single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В отчетном периоде к дисциплинарной ответственности  за совершение коррупционных правонарушений привлечено в виде замечания 2, в виде выговора 5 служащих.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 - выполнены)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законодательства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9 месяцев 2024 года осуществлен контроль за применением предусмотренных законодательством мер юридической ответственности за несоблюдение запретов, ограничений и требований, установленных в целях противодействия коррупции. 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Выявлено 5 нарушение, привлеченных к дисциплинарной ответственности в виде замечания 2 чел., к дисциплинарной ответственности в виде выговора 5 человек.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 - выполнены).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sectPr>
      <w:headerReference w:type="default" r:id="rId3"/>
      <w:type w:val="nextPage"/>
      <w:pgSz w:orient="landscape" w:w="16838" w:h="11906"/>
      <w:pgMar w:left="567" w:right="567" w:gutter="0" w:header="567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ru-RU" w:bidi="ar-SA"/>
    </w:rPr>
  </w:style>
  <w:style w:type="paragraph" w:styleId="Heading1">
    <w:name w:val="Heading 1"/>
    <w:basedOn w:val="Normal"/>
    <w:next w:val="Normal"/>
    <w:qFormat/>
    <w:pPr>
      <w:widowControl w:val="false"/>
      <w:tabs>
        <w:tab w:val="clear" w:pos="708"/>
        <w:tab w:val="left" w:pos="0" w:leader="none"/>
      </w:tabs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</w:rPr>
  </w:style>
  <w:style w:type="paragraph" w:styleId="Heading3">
    <w:name w:val="Heading 3"/>
    <w:basedOn w:val="Normal"/>
    <w:next w:val="BodyText"/>
    <w:qFormat/>
    <w:pPr>
      <w:tabs>
        <w:tab w:val="clear" w:pos="708"/>
        <w:tab w:val="left" w:pos="0" w:leader="none"/>
      </w:tabs>
      <w:spacing w:lineRule="auto" w:line="240" w:before="280" w:after="280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Times New Roman" w:hAnsi="Times New Roman" w:eastAsia="Calibri" w:cs="Times New Roman"/>
      <w:color w:val="000000"/>
      <w:sz w:val="20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WW8Num18z0" w:customStyle="1">
    <w:name w:val="WW8Num18z0"/>
    <w:qFormat/>
    <w:rPr>
      <w:sz w:val="24"/>
    </w:rPr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sz w:val="24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6z0" w:customStyle="1">
    <w:name w:val="WW8Num26z0"/>
    <w:qFormat/>
    <w:rPr>
      <w:sz w:val="24"/>
    </w:rPr>
  </w:style>
  <w:style w:type="character" w:styleId="WW8Num26z1" w:customStyle="1">
    <w:name w:val="WW8Num26z1"/>
    <w:qFormat/>
    <w:rPr/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8z0" w:customStyle="1">
    <w:name w:val="WW8Num28z0"/>
    <w:qFormat/>
    <w:rPr>
      <w:rFonts w:ascii="Times New Roman" w:hAnsi="Times New Roman" w:cs="Times New Roman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Times New Roman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St14z0" w:customStyle="1">
    <w:name w:val="WW8NumSt14z0"/>
    <w:qFormat/>
    <w:rPr>
      <w:rFonts w:ascii="Symbol" w:hAnsi="Symbol" w:cs="Symbol"/>
    </w:rPr>
  </w:style>
  <w:style w:type="character" w:styleId="3" w:customStyle="1">
    <w:name w:val="Основной текст 3 Знак"/>
    <w:qFormat/>
    <w:rPr>
      <w:rFonts w:ascii="Times New Roman" w:hAnsi="Times New Roman" w:eastAsia="Times New Roman" w:cs="Times New Roman"/>
      <w:b/>
      <w:i/>
      <w:sz w:val="28"/>
      <w:szCs w:val="24"/>
      <w:u w:val="single"/>
    </w:rPr>
  </w:style>
  <w:style w:type="character" w:styleId="2" w:customStyle="1">
    <w:name w:val="Основной текст с отступом 2 Знак"/>
    <w:basedOn w:val="DefaultParagraphFont"/>
    <w:qFormat/>
    <w:rPr/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1" w:customStyle="1">
    <w:name w:val="Заголовок 1 Знак"/>
    <w:qFormat/>
    <w:rPr>
      <w:rFonts w:ascii="Arial" w:hAnsi="Arial" w:eastAsia="Times New Roman" w:cs="Arial"/>
      <w:b/>
      <w:bCs/>
      <w:color w:val="000080"/>
      <w:sz w:val="24"/>
      <w:szCs w:val="24"/>
    </w:rPr>
  </w:style>
  <w:style w:type="character" w:styleId="32" w:customStyle="1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21" w:customStyle="1">
    <w:name w:val="Основной текст 2 Знак"/>
    <w:basedOn w:val="DefaultParagraphFont"/>
    <w:qFormat/>
    <w:rPr/>
  </w:style>
  <w:style w:type="character" w:styleId="Style12" w:customStyle="1">
    <w:name w:val="Цветовое выделение"/>
    <w:qFormat/>
    <w:rPr>
      <w:b/>
      <w:color w:val="000080"/>
    </w:rPr>
  </w:style>
  <w:style w:type="character" w:styleId="Style13" w:customStyle="1">
    <w:name w:val="Название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13" w:customStyle="1">
    <w:name w:val="Font Style13"/>
    <w:qFormat/>
    <w:rPr>
      <w:rFonts w:ascii="Times New Roman" w:hAnsi="Times New Roman" w:cs="Times New Roman"/>
      <w:sz w:val="16"/>
      <w:szCs w:val="16"/>
    </w:rPr>
  </w:style>
  <w:style w:type="character" w:styleId="Style17" w:customStyle="1">
    <w:name w:val="Основной текст с отступом Знак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18" w:customStyle="1">
    <w:name w:val="Текст концевой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9" w:customStyle="1">
    <w:name w:val="Символ концевой сноски"/>
    <w:qFormat/>
    <w:rPr>
      <w:vertAlign w:val="superscript"/>
    </w:rPr>
  </w:style>
  <w:style w:type="character" w:styleId="Style20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Style22" w:customStyle="1">
    <w:name w:val="Гипертекстовая ссылка"/>
    <w:qFormat/>
    <w:rPr>
      <w:rFonts w:cs="Times New Roman"/>
      <w:b/>
      <w:bCs/>
      <w:color w:val="008000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23" w:customStyle="1">
    <w:name w:val="Текст примечания Знак"/>
    <w:qFormat/>
    <w:rPr>
      <w:sz w:val="20"/>
      <w:szCs w:val="20"/>
    </w:rPr>
  </w:style>
  <w:style w:type="character" w:styleId="Style24" w:customStyle="1">
    <w:name w:val="Тема примечания Знак"/>
    <w:qFormat/>
    <w:rPr>
      <w:b/>
      <w:bCs/>
      <w:sz w:val="20"/>
      <w:szCs w:val="20"/>
    </w:rPr>
  </w:style>
  <w:style w:type="character" w:styleId="ListParagraphChar" w:customStyle="1">
    <w:name w:val="List Paragraph Char"/>
    <w:link w:val="22"/>
    <w:qFormat/>
    <w:locked/>
    <w:rsid w:val="00b42987"/>
    <w:rPr>
      <w:rFonts w:ascii="Calibri" w:hAnsi="Calibri" w:eastAsia="Calibri" w:cs="Times New Roman"/>
      <w:sz w:val="22"/>
      <w:szCs w:val="22"/>
      <w:lang w:eastAsia="en-US" w:bidi="ar-SA"/>
    </w:rPr>
  </w:style>
  <w:style w:type="character" w:styleId="Style25" w:customStyle="1">
    <w:name w:val="Основной текст_"/>
    <w:link w:val="15"/>
    <w:qFormat/>
    <w:locked/>
    <w:rsid w:val="009a6542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/>
      <w:sz w:val="28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BodyText3">
    <w:name w:val="Body Text 3"/>
    <w:basedOn w:val="Normal"/>
    <w:qFormat/>
    <w:pPr>
      <w:keepNext w:val="true"/>
      <w:spacing w:lineRule="auto" w:line="240" w:before="0" w:after="0"/>
      <w:jc w:val="both"/>
    </w:pPr>
    <w:rPr>
      <w:rFonts w:ascii="Times New Roman" w:hAnsi="Times New Roman" w:eastAsia="Times New Roman"/>
      <w:b/>
      <w:i/>
      <w:sz w:val="28"/>
      <w:szCs w:val="24"/>
      <w:u w:val="single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zh-CN" w:val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eastAsia="zh-CN" w:val="ru-RU" w:bidi="ar-SA"/>
    </w:rPr>
  </w:style>
  <w:style w:type="paragraph" w:styleId="Style28" w:customStyle="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tyle29" w:customStyle="1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Style3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Style31" w:customStyle="1">
    <w:name w:val="Абзац с отсуп"/>
    <w:basedOn w:val="Normal"/>
    <w:qFormat/>
    <w:pPr>
      <w:spacing w:lineRule="exact" w:line="360" w:before="120" w:after="0"/>
      <w:ind w:firstLine="720"/>
      <w:jc w:val="both"/>
    </w:pPr>
    <w:rPr>
      <w:rFonts w:ascii="Times New Roman" w:hAnsi="Times New Roman" w:eastAsia="Times New Roman"/>
      <w:sz w:val="28"/>
      <w:szCs w:val="28"/>
      <w:lang w:val="en-US"/>
    </w:rPr>
  </w:style>
  <w:style w:type="paragraph" w:styleId="12" w:customStyle="1">
    <w:name w:val="Стиль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8"/>
      <w:szCs w:val="20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NormalWeb1" w:customStyle="1">
    <w:name w:val="Normal (Web)1"/>
    <w:basedOn w:val="Normal"/>
    <w:qFormat/>
    <w:pPr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Times New Roman"/>
      <w:sz w:val="28"/>
      <w:szCs w:val="28"/>
    </w:rPr>
  </w:style>
  <w:style w:type="paragraph" w:styleId="13" w:customStyle="1">
    <w:name w:val="Абзац списка1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Iauiue" w:customStyle="1">
    <w:name w:val="Iau?iu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zh-CN" w:val="ru-RU" w:bidi="ar-SA"/>
    </w:rPr>
  </w:style>
  <w:style w:type="paragraph" w:styleId="EndnoteText">
    <w:name w:val="End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FootnoteText">
    <w:name w:val="Foot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14" w:customStyle="1">
    <w:name w:val="1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styleId="Style32" w:customStyle="1">
    <w:name w:val="Знак Знак Знак Знак Знак Знак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4"/>
      <w:szCs w:val="24"/>
      <w:lang w:val="en-US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61" w:customStyle="1">
    <w:name w:val="Style6"/>
    <w:basedOn w:val="Normal"/>
    <w:qFormat/>
    <w:pPr>
      <w:widowControl w:val="false"/>
      <w:spacing w:lineRule="exact" w:line="484" w:before="0" w:after="0"/>
      <w:ind w:firstLine="71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22" w:customStyle="1">
    <w:name w:val="Абзац списка2"/>
    <w:basedOn w:val="Normal"/>
    <w:link w:val="ListParagraphChar"/>
    <w:qFormat/>
    <w:rsid w:val="00b42987"/>
    <w:pPr>
      <w:spacing w:before="0" w:after="200"/>
      <w:ind w:left="720"/>
      <w:contextualSpacing/>
    </w:pPr>
    <w:rPr>
      <w:lang w:eastAsia="en-US"/>
    </w:rPr>
  </w:style>
  <w:style w:type="paragraph" w:styleId="15" w:customStyle="1">
    <w:name w:val="Основной текст1"/>
    <w:basedOn w:val="Normal"/>
    <w:link w:val="Style25"/>
    <w:qFormat/>
    <w:rsid w:val="009a6542"/>
    <w:pPr>
      <w:widowControl w:val="false"/>
      <w:shd w:val="clear" w:color="auto" w:fill="FFFFFF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Application>LibreOffice/7.6.7.2$Linux_X86_64 LibreOffice_project/60$Build-2</Application>
  <AppVersion>15.0000</AppVersion>
  <Pages>11</Pages>
  <Words>2950</Words>
  <Characters>23050</Characters>
  <CharactersWithSpaces>25859</CharactersWithSpaces>
  <Paragraphs>180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2024-04-04T13:36:00Z</dcterms:created>
  <dc:creator>Наталья</dc:creator>
  <dc:description/>
  <dc:language>ru-RU</dc:language>
  <cp:lastModifiedBy/>
  <cp:lastPrinted>2014-07-16T15:25:00Z</cp:lastPrinted>
  <dcterms:modified xsi:type="dcterms:W3CDTF">2024-12-04T16:30:37Z</dcterms:modified>
  <cp:revision>7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